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92" w:rsidRPr="00707392" w:rsidRDefault="00707392" w:rsidP="007073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БОРАИ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(Ахбори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с. 1996, №23, мод. 340; с. 2000, №11, мод. 533; мод. 552; с. 2004, №2, мод. 37; мод. 53; с. 2005, №3, мод. 118; №7, мод. 408; №12, мод. 653; с. 2007, №3, мод. 157; мод. 162)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29.11.2000 </w:t>
      </w:r>
      <w:hyperlink r:id="rId4" w:tooltip="Ссылка на Ѕонуни ЇТ Дар бораи ворид намудани таљйирот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19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29.11.2000 </w:t>
      </w:r>
      <w:hyperlink r:id="rId5" w:tooltip="Ссылка на Ѕонуни ЇТ Дар бораи ворид намудани таљйирот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28.02.2004 </w:t>
      </w:r>
      <w:hyperlink r:id="rId6" w:tooltip="Ссылка на Ѕонуни ЇТ Дар бораи ворид намудани таљйирот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5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28.02.2004 </w:t>
      </w:r>
      <w:hyperlink r:id="rId7" w:tooltip="Ссылка на Ѕонуни ЇТ Оид ба ворид намудани илова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 1.03.2005 </w:t>
      </w:r>
      <w:hyperlink r:id="rId8" w:tooltip="Ссылка на Ѕонуни ЇТ Оид ба ворид намудани таљйирот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79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 25.07.2005 </w:t>
      </w:r>
      <w:hyperlink r:id="rId9" w:tooltip="Ссылка на Ѕонуни ЇТ Дар бораи ворид намудани таљйирот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108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28.12.2005 </w:t>
      </w:r>
      <w:hyperlink r:id="rId10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5.03.2007 </w:t>
      </w:r>
      <w:hyperlink r:id="rId11" w:tooltip="Ссылка на Ѕонуни ЇТ Дар бораи ворид намудани таљйирот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225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5.03.2007 </w:t>
      </w:r>
      <w:hyperlink r:id="rId12" w:tooltip="Ссылка на Ѕонуни ЇТ Оид ба ворид намудани таљйирот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230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26.07.2014 </w:t>
      </w:r>
      <w:hyperlink r:id="rId13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1099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асос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таъинот,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айат, принсип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ташкил ва фаъолияти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муайян менамояд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28.12.2005 </w:t>
      </w:r>
      <w:hyperlink r:id="rId14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000000003"/>
      <w:bookmarkEnd w:id="0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 ва таъиноти 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амчун давлати муста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субъекти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байналмилали буда, дорои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худ мебошад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28.12.2005 </w:t>
      </w:r>
      <w:hyperlink r:id="rId15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000000004"/>
      <w:bookmarkEnd w:id="1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2. Вазифа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иборатанд: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 гардонидани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овузи душман ва шикаст додани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овузкор;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ифзи фазои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авоии давлат;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офизати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онаи 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давлати;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ташкил ва пешбурди мудофиаи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28.12.2005 </w:t>
      </w:r>
      <w:hyperlink r:id="rId16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 дар зада гардонидани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овузи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ба давлати дигар ё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намудани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оварона, ки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байналмилалли бармеоянд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28.12.2005 </w:t>
      </w:r>
      <w:hyperlink r:id="rId17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алб кардани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узъу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дигар сохтор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барои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ба таъиноти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вобастаги надоранд, 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асоси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 ё Фармони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ки баъдан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аласаи якчояи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 ва Мачлиси намояндагони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мешавад, амали мегардад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29.11.2000 </w:t>
      </w:r>
      <w:hyperlink r:id="rId18" w:tooltip="Ссылка на Ѕонуни ЇТ Дар бораи ворид намудани таљйирот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000000005"/>
      <w:bookmarkEnd w:id="2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икистон дар бораи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дар бораи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Конститутсияи (Сар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асос ёфта,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мазкур, дигар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байналмилалие, 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эътироф кардааст, иборат мебошад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28.12.2005 </w:t>
      </w:r>
      <w:hyperlink r:id="rId19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6"/>
      <w:bookmarkEnd w:id="3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4. Принцип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ташкил ва фаъолияти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икистон 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28.12.2005 </w:t>
      </w:r>
      <w:hyperlink r:id="rId20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ташкил ва фаъолияти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оанд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28.12.2005 </w:t>
      </w:r>
      <w:hyperlink r:id="rId21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онуният ва адолати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исоботди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окимияти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онунбарор 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роия: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яккасардори, риояи интизоми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 даст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амъонаи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идоракунии мутамарказ;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омодагии доимии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 ва сафарбари;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дадории умумии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 ва ихтиёри ба хизмати даромадан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29.11.2000 </w:t>
      </w:r>
      <w:hyperlink r:id="rId22" w:tooltip="Ссылка на Ѕонуни ЇТ Дар бораи ворид намудани таљйирот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дории сирри давлати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28.02.2004 </w:t>
      </w:r>
      <w:hyperlink r:id="rId23" w:tooltip="Ссылка на Ѕонуни ЇТ Дар бораи ворид намудани таљйирот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5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таъмини кафолатноки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тимоии хизматчиёни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ва оила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000000007"/>
      <w:bookmarkEnd w:id="4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айати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ташкил 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анд: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хушкигард;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мудофиаи зидди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5.03.2007 </w:t>
      </w:r>
      <w:hyperlink r:id="rId24" w:tooltip="Ссылка на Ѕонуни ЇТ Оид ба ворид намудани таљйирот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230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хорич карда шуда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5.03.2007 </w:t>
      </w:r>
      <w:hyperlink r:id="rId25" w:tooltip="Ссылка на Ѕонуни ЇТ Оид ба ворид намудани таљйирот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230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зудамал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28.02.2004 </w:t>
      </w:r>
      <w:hyperlink r:id="rId26" w:tooltip="Ссылка на Ѕонуни ЇТ Оид ба ворид намудани илова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о,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сохтор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дигаре, ки фаъолияти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бо таъиноти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таъмини амалиёти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 нест, дохил шуда наметавонанд.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Дар давраи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Гвардияи миллии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Кумитаи давлатии амнияти миллии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дохилии Вазорати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дохилии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мудофиаи граждании Кумитаи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фав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улодда ва мудофиаи граждании назди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 Бригадаи посбоникунандаи Сарраёсати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иноятии Вазорати адлияи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Агентии таъминоти амволи махсуси назди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 низ дохил мешаванд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5.03.2007 </w:t>
      </w:r>
      <w:hyperlink r:id="rId27" w:tooltip="Ссылка на Ѕонуни ЇТ Дар бораи ворид намудани таљйирот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225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26.07.2014 </w:t>
      </w:r>
      <w:hyperlink r:id="rId28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1099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000000008"/>
      <w:bookmarkEnd w:id="5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6. Пуррагардонии саф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Пуррагардонии саф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айати шахси ба тартиби ихтиёри, инчунин дар асоси даъвати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рвандон ба хизмати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тиб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сурат мегирад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29.11.2000 </w:t>
      </w:r>
      <w:hyperlink r:id="rId29" w:tooltip="Ссылка на Ѕонуни ЇТ Дар бораи ворид намудани таљйирот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аз 28.12.2005 </w:t>
      </w:r>
      <w:hyperlink r:id="rId30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yм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уpии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инчунин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пурра карда мешаванд.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шахсони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менамоянд, аз тарафи Вазири мудофиаи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 карда мешавад.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арордод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ои)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бо фармонде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вобаста аз вазифаи 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олкардаашон дар асоси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оид ба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тартиб дода мешаванд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28.12.2005 </w:t>
      </w:r>
      <w:hyperlink r:id="rId31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 итти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касби ташкил намояд.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000000009"/>
      <w:bookmarkEnd w:id="6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7. 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бари ва идоракунии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барии умумии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аз тарафи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- Сарфармонде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сурат мегирад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аз 26.07.2014 </w:t>
      </w:r>
      <w:hyperlink r:id="rId32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1099</w:t>
        </w:r>
      </w:hyperlink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барии бевоситаро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Вазири мудофиаи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амали намуда, ба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ки тавассути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bookmarkStart w:id="7" w:name="_GoBack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гузошта шудаанд, масъул мебошад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29.11.2000 </w:t>
      </w:r>
      <w:hyperlink r:id="rId33" w:tooltip="Ссылка на Ѕонуни ЇТ Дар бораи ворид намудани таљйирот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Вазифаи Вазири мудофиаи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 муовинони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шахсони дигари масъули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yм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икистонро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истиснои шахсони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 карда метавонанд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аз 26.07.2014 </w:t>
      </w:r>
      <w:hyperlink r:id="rId34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1099</w:t>
        </w:r>
      </w:hyperlink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Вазорати мудофиа ва Ситоди </w:t>
      </w:r>
      <w:proofErr w:type="gramStart"/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генералии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gramEnd"/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онун, 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 ва меъёрии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карда мешаванд. Барои амали намудани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Вазорати мудофиаи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ва Сарситоди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раёсат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 хадамоти дахлдор ташкил карда мешаванд. Идоракунии намуд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 воситаи ситод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дахлдор сурат мегирад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аз 26.07.2014 </w:t>
      </w:r>
      <w:hyperlink r:id="rId35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1099</w:t>
        </w:r>
      </w:hyperlink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 ва идоракунии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таълими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шахсии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забони давлатии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yм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уpии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истифода бурда мешавад.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000000010"/>
      <w:bookmarkEnd w:id="8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8. Идоракунии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 асосии идоракунии амалии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Ситоди генералии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мебошад, 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аз 26.07.2014 </w:t>
      </w:r>
      <w:hyperlink r:id="rId36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1099</w:t>
        </w:r>
      </w:hyperlink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 истифодабарии Кувва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сафарбари 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 ба таври фаври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изонидани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аламрави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ба манфиати мудофиаи мамлакат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менамояд;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оид ба доктринаи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икистон, сохтор,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ойгиршавии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о, таъмини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 сило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техникаи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мекунад;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идоракунии амалии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фаъолияти разведкаро ба манфиати мудофиа ва амният ба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мемонад;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тайёрии сафарбари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ойгиркунонии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ташкил менамояд;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тайёрии зарурии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 ниго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медорад;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омодагии амалии ситод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ташкил менамояд;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 илмию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 дорои хусусияти амалии стратегиро ба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мемонад;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дории сирри давлатиро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таъмин менамояд;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дигар ваколат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низомномаи дахлдор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мекунад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28.12.2005 </w:t>
      </w:r>
      <w:hyperlink r:id="rId37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000000011"/>
      <w:bookmarkEnd w:id="9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9.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ойгирони ва истифодабарии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икистон 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29.11.2000 </w:t>
      </w:r>
      <w:hyperlink r:id="rId38" w:tooltip="Ссылка на Ѕонуни ЇТ Дар бораи ворид намудани таљйирот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ойгиронии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мувофи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вазифа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мудофиа ва имконият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тисодии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амали мегардад.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ойгиронии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yм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тарафи Ситоди генералии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yм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уpии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мувофи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икстон тартиб дода мешавад ва бо пешни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 Вазири мудофиаи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аз тарафи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мегардад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аз 26.07.2014 </w:t>
      </w:r>
      <w:hyperlink r:id="rId39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1099</w:t>
        </w:r>
      </w:hyperlink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аламраве, ки барои истифодаи Вазорати мудофиаи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 карда шудааст, аз тарафи Вазири мудофиаи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мувофи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 дахлдор сурат мегирад.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ойгиронии ва истифодабарии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берун 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барои ичрои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байналмилалии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ризоияти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 ва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(дар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аласаи 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оя) дар асоси Фармони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амали мегардад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29.11.2000 </w:t>
      </w:r>
      <w:hyperlink r:id="rId40" w:tooltip="Ссылка на Ѕонуни ЇТ Дар бораи ворид намудани таљйирот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000000012"/>
      <w:bookmarkEnd w:id="10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10.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амкори ва амали як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ояи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икистон бо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давлат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дигар ва 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дигари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арбии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уpии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дигар дар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мудофиа,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 сул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амният, инчунин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 сохтмони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дар доираи меъёр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байналмилалли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 мекунанд.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дадории байналмилалли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бо ризояти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милли ва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намояндагони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 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(дар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аласаи 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оя), дар асоси Фармони Президенти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мутта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 дохил шуда ё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фармонде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мутта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 гирифта метавонад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29.11.2000 </w:t>
      </w:r>
      <w:hyperlink r:id="rId41" w:tooltip="Ссылка на Ѕонуни ЇТ Дар бораи ворид намудани таљйирот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амеша бо дигар сохтор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 менамоянд.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000000013"/>
      <w:bookmarkEnd w:id="11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11. Фаъолияти хо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дар сурате бо фаъолияти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 маш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 шуда метавонанд, ки он ба тайёрии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ангиашон таъсир нарасонад.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 амали намудани фаъолияти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 аз тарафи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укумати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муайян карда мешавад.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000000014"/>
      <w:bookmarkEnd w:id="12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 12.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дуд намудани фаъолияти созмон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амъияти ва итти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ои дигар дар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созмон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амъиятие, ки вазифаи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амъияти, тарбияи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айати шахсиро доранд ва шахсони юридики нестанд, ташкил ёфта метавонанд.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таъсис додани сохтор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ташкили ва фаъолияти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о, дигар итти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амъияти, ки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сиёси доранд, инчунин табли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идеологияи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манъ аст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аз 29.11.2000 </w:t>
      </w:r>
      <w:hyperlink r:id="rId42" w:tooltip="Ссылка на Ѕонуни ЇТ Дар бораи ворид намудани таљйирот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31</w:t>
        </w:r>
      </w:hyperlink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 мансаб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штати ва восита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молии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барои ташкили сохтор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 фаъолияти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 гуна созмон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 ва итти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дигар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 аз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ки тиб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тасди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гардидаанд, манъ аст. Бурдани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гуна табли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 сиёси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ва муассиса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Тоикистон манъ аст.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000000015"/>
      <w:bookmarkEnd w:id="13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13. Таъмини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онуният дар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Назорат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онуният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аз тарафи Прокурори Генералии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ва 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арбии тобеи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сурат мегирад.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имояи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хизматчиёни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арби, баррасии парванда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инои ва граждани 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Мусалла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аз тарафи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 амали мегардад.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45C0LQ35A"/>
      <w:bookmarkEnd w:id="14"/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Моддаи 14.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барои риоя накардани талаботи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 мазкур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аз 26.07.2014 </w:t>
      </w:r>
      <w:hyperlink r:id="rId43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1099</w:t>
        </w:r>
      </w:hyperlink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Шахсони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барои риоя накардани талаботи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 мазкур мутоби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онунгузории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икистон 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кашида мешаванд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 xml:space="preserve">аз 26.07.2014 </w:t>
      </w:r>
      <w:hyperlink r:id="rId44" w:tooltip="Ссылка на Ѕонуни ЇТ Оид ба ворид намудани таљйиру иловаіо ба Ѕонуни ЇТ Дар бораи Ѕувваіои Мусаллаіи ЇТ" w:history="1">
        <w:r w:rsidRPr="00707392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№ 1099</w:t>
        </w:r>
      </w:hyperlink>
      <w:r w:rsidRPr="00707392">
        <w:rPr>
          <w:rFonts w:ascii="Times New Roman" w:eastAsia="Times New Roman" w:hAnsi="Times New Roman" w:cs="Times New Roman"/>
          <w:i/>
          <w:iCs/>
          <w:color w:val="990099"/>
          <w:sz w:val="28"/>
          <w:szCs w:val="28"/>
          <w:lang w:eastAsia="ru-RU"/>
        </w:rPr>
        <w:t>).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Президенти 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 Э.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ш. Душанбе </w:t>
      </w:r>
    </w:p>
    <w:p w:rsidR="00707392" w:rsidRPr="00707392" w:rsidRDefault="00707392" w:rsidP="007073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92">
        <w:rPr>
          <w:rFonts w:ascii="Times New Roman" w:eastAsia="Times New Roman" w:hAnsi="Times New Roman" w:cs="Times New Roman"/>
          <w:sz w:val="28"/>
          <w:szCs w:val="28"/>
          <w:lang w:eastAsia="ru-RU"/>
        </w:rPr>
        <w:t> 13 декабри соли 1996 № 316</w:t>
      </w:r>
    </w:p>
    <w:p w:rsidR="00BD0381" w:rsidRPr="00707392" w:rsidRDefault="00BD0381" w:rsidP="007073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0381" w:rsidRPr="00707392" w:rsidSect="007073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57"/>
    <w:rsid w:val="006B3557"/>
    <w:rsid w:val="00707392"/>
    <w:rsid w:val="00B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5BB6"/>
  <w15:chartTrackingRefBased/>
  <w15:docId w15:val="{8A31553B-C53C-43EB-8A4E-CDD15600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073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739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70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70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392"/>
    <w:rPr>
      <w:color w:val="0000FF"/>
      <w:u w:val="single"/>
    </w:rPr>
  </w:style>
  <w:style w:type="character" w:customStyle="1" w:styleId="inline-comment">
    <w:name w:val="inline-comment"/>
    <w:basedOn w:val="a0"/>
    <w:rsid w:val="00707392"/>
  </w:style>
  <w:style w:type="character" w:styleId="a5">
    <w:name w:val="Emphasis"/>
    <w:basedOn w:val="a0"/>
    <w:uiPriority w:val="20"/>
    <w:qFormat/>
    <w:rsid w:val="00707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26292" TargetMode="External"/><Relationship Id="rId13" Type="http://schemas.openxmlformats.org/officeDocument/2006/relationships/hyperlink" Target="vfp://rgn=122218" TargetMode="External"/><Relationship Id="rId18" Type="http://schemas.openxmlformats.org/officeDocument/2006/relationships/hyperlink" Target="vfp://rgn=21503" TargetMode="External"/><Relationship Id="rId26" Type="http://schemas.openxmlformats.org/officeDocument/2006/relationships/hyperlink" Target="vfp://rgn=24734" TargetMode="External"/><Relationship Id="rId39" Type="http://schemas.openxmlformats.org/officeDocument/2006/relationships/hyperlink" Target="vfp://rgn=1222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fp://rgn=27051" TargetMode="External"/><Relationship Id="rId34" Type="http://schemas.openxmlformats.org/officeDocument/2006/relationships/hyperlink" Target="vfp://rgn=122218" TargetMode="External"/><Relationship Id="rId42" Type="http://schemas.openxmlformats.org/officeDocument/2006/relationships/hyperlink" Target="vfp://rgn=21503" TargetMode="External"/><Relationship Id="rId7" Type="http://schemas.openxmlformats.org/officeDocument/2006/relationships/hyperlink" Target="vfp://rgn=24734" TargetMode="External"/><Relationship Id="rId12" Type="http://schemas.openxmlformats.org/officeDocument/2006/relationships/hyperlink" Target="vfp://rgn=31054" TargetMode="External"/><Relationship Id="rId17" Type="http://schemas.openxmlformats.org/officeDocument/2006/relationships/hyperlink" Target="vfp://rgn=27051" TargetMode="External"/><Relationship Id="rId25" Type="http://schemas.openxmlformats.org/officeDocument/2006/relationships/hyperlink" Target="vfp://rgn=31054" TargetMode="External"/><Relationship Id="rId33" Type="http://schemas.openxmlformats.org/officeDocument/2006/relationships/hyperlink" Target="vfp://rgn=21503" TargetMode="External"/><Relationship Id="rId38" Type="http://schemas.openxmlformats.org/officeDocument/2006/relationships/hyperlink" Target="vfp://rgn=21503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vfp://rgn=27051" TargetMode="External"/><Relationship Id="rId20" Type="http://schemas.openxmlformats.org/officeDocument/2006/relationships/hyperlink" Target="vfp://rgn=27051" TargetMode="External"/><Relationship Id="rId29" Type="http://schemas.openxmlformats.org/officeDocument/2006/relationships/hyperlink" Target="vfp://rgn=21503" TargetMode="External"/><Relationship Id="rId41" Type="http://schemas.openxmlformats.org/officeDocument/2006/relationships/hyperlink" Target="vfp://rgn=21503" TargetMode="External"/><Relationship Id="rId1" Type="http://schemas.openxmlformats.org/officeDocument/2006/relationships/styles" Target="styles.xml"/><Relationship Id="rId6" Type="http://schemas.openxmlformats.org/officeDocument/2006/relationships/hyperlink" Target="vfp://rgn=24726" TargetMode="External"/><Relationship Id="rId11" Type="http://schemas.openxmlformats.org/officeDocument/2006/relationships/hyperlink" Target="vfp://rgn=31053" TargetMode="External"/><Relationship Id="rId24" Type="http://schemas.openxmlformats.org/officeDocument/2006/relationships/hyperlink" Target="vfp://rgn=31054" TargetMode="External"/><Relationship Id="rId32" Type="http://schemas.openxmlformats.org/officeDocument/2006/relationships/hyperlink" Target="vfp://rgn=122218" TargetMode="External"/><Relationship Id="rId37" Type="http://schemas.openxmlformats.org/officeDocument/2006/relationships/hyperlink" Target="vfp://rgn=27051" TargetMode="External"/><Relationship Id="rId40" Type="http://schemas.openxmlformats.org/officeDocument/2006/relationships/hyperlink" Target="vfp://rgn=21503" TargetMode="External"/><Relationship Id="rId45" Type="http://schemas.openxmlformats.org/officeDocument/2006/relationships/fontTable" Target="fontTable.xml"/><Relationship Id="rId5" Type="http://schemas.openxmlformats.org/officeDocument/2006/relationships/hyperlink" Target="vfp://rgn=21503" TargetMode="External"/><Relationship Id="rId15" Type="http://schemas.openxmlformats.org/officeDocument/2006/relationships/hyperlink" Target="vfp://rgn=27051" TargetMode="External"/><Relationship Id="rId23" Type="http://schemas.openxmlformats.org/officeDocument/2006/relationships/hyperlink" Target="vfp://rgn=24726" TargetMode="External"/><Relationship Id="rId28" Type="http://schemas.openxmlformats.org/officeDocument/2006/relationships/hyperlink" Target="vfp://rgn=122218" TargetMode="External"/><Relationship Id="rId36" Type="http://schemas.openxmlformats.org/officeDocument/2006/relationships/hyperlink" Target="vfp://rgn=122218" TargetMode="External"/><Relationship Id="rId10" Type="http://schemas.openxmlformats.org/officeDocument/2006/relationships/hyperlink" Target="vfp://rgn=27051" TargetMode="External"/><Relationship Id="rId19" Type="http://schemas.openxmlformats.org/officeDocument/2006/relationships/hyperlink" Target="vfp://rgn=27051" TargetMode="External"/><Relationship Id="rId31" Type="http://schemas.openxmlformats.org/officeDocument/2006/relationships/hyperlink" Target="vfp://rgn=27051" TargetMode="External"/><Relationship Id="rId44" Type="http://schemas.openxmlformats.org/officeDocument/2006/relationships/hyperlink" Target="vfp://rgn=122218" TargetMode="External"/><Relationship Id="rId4" Type="http://schemas.openxmlformats.org/officeDocument/2006/relationships/hyperlink" Target="vfp://rgn=21456" TargetMode="External"/><Relationship Id="rId9" Type="http://schemas.openxmlformats.org/officeDocument/2006/relationships/hyperlink" Target="vfp://rgn=26518" TargetMode="External"/><Relationship Id="rId14" Type="http://schemas.openxmlformats.org/officeDocument/2006/relationships/hyperlink" Target="vfp://rgn=27051" TargetMode="External"/><Relationship Id="rId22" Type="http://schemas.openxmlformats.org/officeDocument/2006/relationships/hyperlink" Target="vfp://rgn=21503" TargetMode="External"/><Relationship Id="rId27" Type="http://schemas.openxmlformats.org/officeDocument/2006/relationships/hyperlink" Target="vfp://rgn=31053" TargetMode="External"/><Relationship Id="rId30" Type="http://schemas.openxmlformats.org/officeDocument/2006/relationships/hyperlink" Target="vfp://rgn=27051" TargetMode="External"/><Relationship Id="rId35" Type="http://schemas.openxmlformats.org/officeDocument/2006/relationships/hyperlink" Target="vfp://rgn=122218" TargetMode="External"/><Relationship Id="rId43" Type="http://schemas.openxmlformats.org/officeDocument/2006/relationships/hyperlink" Target="vfp://rgn=122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2577</Words>
  <Characters>14689</Characters>
  <Application>Microsoft Office Word</Application>
  <DocSecurity>0</DocSecurity>
  <Lines>122</Lines>
  <Paragraphs>34</Paragraphs>
  <ScaleCrop>false</ScaleCrop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Qiyomiddinov</dc:creator>
  <cp:keywords/>
  <dc:description/>
  <cp:lastModifiedBy>Qiyomiddinov</cp:lastModifiedBy>
  <cp:revision>2</cp:revision>
  <dcterms:created xsi:type="dcterms:W3CDTF">2023-02-22T05:47:00Z</dcterms:created>
  <dcterms:modified xsi:type="dcterms:W3CDTF">2023-02-22T05:51:00Z</dcterms:modified>
</cp:coreProperties>
</file>